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2021-03-10 18:15:47</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can model a response variable as the additive sum of one or more smoothing splines fit to predictor variables. These models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w:t>
      </w:r>
      <w:r>
        <w:t xml:space="preserve"> </w:t>
      </w:r>
      <w:r>
        <w:rPr>
          <w:i/>
        </w:rPr>
        <w:t xml:space="preserve">post-hoc</w:t>
      </w:r>
      <w:r>
        <w:t xml:space="preserve"> </w:t>
      </w:r>
      <w:r>
        <w:t xml:space="preserve">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that do not require</w:t>
      </w:r>
      <w:r>
        <w:t xml:space="preserve"> </w:t>
      </w:r>
      <w:r>
        <w:rPr>
          <w:i/>
        </w:rPr>
        <w:t xml:space="preserve">post-hoc</w:t>
      </w:r>
      <w:r>
        <w:t xml:space="preserve"> </w:t>
      </w:r>
      <w:r>
        <w:t xml:space="preserve">resampling of model results.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application"/>
      <w:r>
        <w:t xml:space="preserve">GAM application</w:t>
      </w:r>
      <w:bookmarkEnd w:id="32"/>
    </w:p>
    <w:p>
      <w:pPr>
        <w:pStyle w:val="FirstParagraph"/>
      </w:pPr>
      <w:r>
        <w:t xml:space="preserve">We implemented our analysis in three stages. First, we use a GAM to estimate a smooth temporal pattern in the raw data along with its uncertainty. Second, we calculate a feature of interest from the estimated GAM, along with its propagated uncertainty. For this example, the seasonal averages were extracted, whereas other features could be the timing or magnitude of a seasonal peak, but those are not developed here. Third, we use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and that feature could be accounted for with this term, but for the SFE data and chl-a dynamics in many estuaries,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5b2c03efb0c3eecc34fbcfa6f447954814a32fe"/>
      <w:r>
        <w:t xml:space="preserve">Second-stage analysis: Uncertainty propagation from estimated GAMs to seasonal features</w:t>
      </w:r>
      <w:bookmarkEnd w:id="34"/>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where the time-scale of the seasonal average and duration of the across-year comparison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 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fixed and estimated (</w:t>
      </w:r>
      <m:oMath>
        <m:sSubSup>
          <m:e>
            <m:r>
              <m:t>σ</m:t>
            </m:r>
          </m:e>
          <m:sub>
            <m:r>
              <m:t>b</m:t>
            </m:r>
          </m:sub>
          <m:sup>
            <m:r>
              <m:t>2</m:t>
            </m:r>
          </m:sup>
        </m:sSubSup>
      </m:oMath>
      <w:r>
        <w:t xml:space="preserve">) variance components.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(log</w:t>
      </w:r>
      <m:oMath>
        <m:sSub>
          <m:e>
            <m:r>
              <m:t>​</m:t>
            </m:r>
          </m:e>
          <m:sub>
            <m:r>
              <m:t>10</m:t>
            </m:r>
          </m:sub>
        </m:sSub>
      </m:oMath>
      <w:r>
        <w:t xml:space="preserve"> </w:t>
      </w:r>
      <w:r>
        <w:t xml:space="preserve">slope) in chl-a over a chosen series of years.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moving windows from 1991 to 2019. The choice of water-year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1990-2000, 200-2010, and 2010-2019.</w:t>
      </w:r>
    </w:p>
    <w:p>
      <w:pPr>
        <w:pStyle w:val="BodyText"/>
      </w:pPr>
      <w:r>
        <w:t xml:space="preserve">Finally, trend results from the meta-analysis regression method for each season and different time periods were compared</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observed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equal to 71% (Table @ref(tab:modprftab)) and ranging from 59% (station 22) to 78% (station 18). GAM predictions from north to south on the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across years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April to June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station 22 for October to December averages from 2000 to 2010. Unlike the first example, the top two figures show trends, whereas the bottom plot for the meta-analysis regression does not show a trend. In both cases, only the meta-analysis results provide accurate trend estimates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meta-analysis methods, with much larger slopes observed especially at the more southern stations in the January to June period. Slope estimates from the OLS models applied to the averages from the GAMs as compared to the meta-analysis results were more similar, excluding some of the slope estimates for the southern stations. Differences in significance of trends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water quality data from long-term monitoring programs. GAMs are capable of modelling data with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Our results demonstrated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Our examples in Figures @ref(fig:trndcmpex) and @ref(fig:trndcmp) demonstrate the risk of incorrect conclusions if propagation of uncertainty from raw observations across methods is unaccounted for in trend assessment. This may be a likely scenario when aggregating observations to meet the assumptions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 Incorrect conclusions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mixed-effects meta-analyses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meta-analyses are more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arbitrarily under- or over-smoothed to the raw observations. This is especially problematic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validity of conclusions based on trends from meta-analysis regression applied to the GAM seasonal averages. We acknowledge that the third stage analyses require explicit user inputs on year periods to define trends.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of potential causality. As noted above, model structure in describing the long-term trend component was irrelevant for describing long-term trends, although this will depend on the objective of the analysis. Our goal was to describe chl-a changes relative to time, where the predictors were variations on a general theme (e.g., season vs. year). This is a different application from using GAMs with predictors selected to assess potential causality.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 (a, b), but they vary in the penalties applied to the basis functions for any particular smoother depending on which additive components are included in each model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because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eta-analysis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(a) station 36 and (b) station 22. The first row shows OLS (ordinary least squares) regression applied to annual averages of chl-a from the observed data, the second row shows OLS regression applied to annual averages of chl-a from the GAM, and the third row shows meta-analysis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eta-analysis GAM” trend model is based on a meta-analysis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2"/>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Meta-analysis GAM</w:t>
      </w:r>
      <w:r>
        <w:t xml:space="preserve">”</w:t>
      </w:r>
      <w:r>
        <w:t xml:space="preserve"> </w:t>
      </w:r>
      <w:r>
        <w:t xml:space="preserve">trend model is based on a meta-analysis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3" w:name="tables"/>
      <w:r>
        <w:t xml:space="preserve">Tables</w:t>
      </w:r>
      <w:bookmarkEnd w:id="53"/>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Helvetica" w:eastAsia="Helvetica" w:cs="Helvetica"/>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2"/>
    <w:bookmarkStart w:id="63" w:name="ref-Cloern16"/>
    <w:p>
      <w:pPr>
        <w:pStyle w:val="Bibliography"/>
      </w:pPr>
      <w:r>
        <w:t xml:space="preserve">Cloern, J. E., and T. S. Schraga. 2016. USGS measurements of water quality in San Francisco Bay (CA), 1969-2015: U.S. Geological Survey data release. https://doi.org/10.5066/F7TQ5ZPR.</w:t>
      </w:r>
    </w:p>
    <w:bookmarkEnd w:id="63"/>
    <w:bookmarkStart w:id="64" w:name="ref-Cloern20"/>
    <w:p>
      <w:pPr>
        <w:pStyle w:val="Bibliography"/>
      </w:pPr>
      <w:r>
        <w:t xml:space="preserve">Cloern, J. E., T. S. Shcraga, E. Nejad, and C. Martin. 2020. Nutrient status of San Francisco Bay and its management implications. Estuaries &amp; Coasts 43:1299–1317.</w:t>
      </w:r>
    </w:p>
    <w:bookmarkEnd w:id="64"/>
    <w:bookmarkStart w:id="65" w:name="ref-Cole84"/>
    <w:p>
      <w:pPr>
        <w:pStyle w:val="Bibliography"/>
      </w:pPr>
      <w:r>
        <w:t xml:space="preserve">Cole, B. E., and J. E. Cloern. 1984. Significance of biomass and light availability to phytoplankton productivity in San Francisco Bay. Marine Ecology Progress Series 17:15–24.</w:t>
      </w:r>
    </w:p>
    <w:bookmarkEnd w:id="65"/>
    <w:bookmarkStart w:id="66" w:name="ref-Cumming06"/>
    <w:p>
      <w:pPr>
        <w:pStyle w:val="Bibliography"/>
      </w:pPr>
      <w:r>
        <w:t xml:space="preserve">Cumming, G. S., D. H. M. Cumming, and C. L. Redman. 2006. Scale mismatches in social-ecological systems: Causes, consequences, and solutions. Ecology and Society 11:14.</w:t>
      </w:r>
    </w:p>
    <w:bookmarkEnd w:id="66"/>
    <w:bookmarkStart w:id="67" w:name="ref-Forbes18"/>
    <w:p>
      <w:pPr>
        <w:pStyle w:val="Bibliography"/>
      </w:pPr>
      <w:r>
        <w:t xml:space="preserve">Forbes, D. J., and Z. Xie. 2018. Identifying process scales in the Indian River Lagoon, Florida using wavelet transform analysis of dissolved oxygen. Ecological Complexity 36:149–167.</w:t>
      </w:r>
    </w:p>
    <w:bookmarkEnd w:id="67"/>
    <w:bookmarkStart w:id="68" w:name="ref-Fouquet12"/>
    <w:p>
      <w:pPr>
        <w:pStyle w:val="Bibliography"/>
      </w:pPr>
      <w:r>
        <w:t xml:space="preserve">Fouquet, C. de. 2012. Environmental statistics revisited: Is the mean reliable? Environmental Science and Technology 46:1964–1970.</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2021-03-10T18:16:49Z</dcterms:created>
  <dcterms:modified xsi:type="dcterms:W3CDTF">2021-03-10T18:16:49Z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